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E6C" w:rsidRPr="00560E6C" w:rsidRDefault="00560E6C" w:rsidP="00560E6C">
      <w:pPr>
        <w:pStyle w:val="Title"/>
        <w:rPr>
          <w:shd w:val="clear" w:color="auto" w:fill="FFFFFF"/>
        </w:rPr>
      </w:pPr>
      <w:r w:rsidRPr="00560E6C">
        <w:t>JUNE</w:t>
      </w:r>
      <w:r w:rsidR="00514F8A">
        <w:t xml:space="preserve"> 2023 :</w:t>
      </w:r>
      <w:r w:rsidRPr="00560E6C">
        <w:t xml:space="preserve"> IMPH TRAINING</w:t>
      </w:r>
    </w:p>
    <w:p w:rsidR="00560E6C" w:rsidRDefault="00560E6C">
      <w:pPr>
        <w:rPr>
          <w:rFonts w:ascii="Arial" w:hAnsi="Arial" w:cs="Arial"/>
          <w:color w:val="202124"/>
          <w:spacing w:val="2"/>
          <w:shd w:val="clear" w:color="auto" w:fill="FFFFFF"/>
        </w:rPr>
      </w:pPr>
    </w:p>
    <w:p w:rsidR="00514F8A" w:rsidRPr="00514F8A" w:rsidRDefault="00560E6C">
      <w:pPr>
        <w:rPr>
          <w:rFonts w:ascii="Arial" w:hAnsi="Arial" w:cs="Arial"/>
          <w:b/>
          <w:bCs/>
          <w:color w:val="202124"/>
          <w:spacing w:val="2"/>
          <w:shd w:val="clear" w:color="auto" w:fill="FFFFFF"/>
        </w:rPr>
      </w:pPr>
      <w:r w:rsidRPr="00560E6C">
        <w:rPr>
          <w:rFonts w:ascii="Arial" w:hAnsi="Arial" w:cs="Arial"/>
          <w:b/>
          <w:color w:val="202124"/>
          <w:spacing w:val="2"/>
          <w:shd w:val="clear" w:color="auto" w:fill="FFFFFF"/>
        </w:rPr>
        <w:t>1. Documents released by BioNTech to the European Medicines Agency (EMA)</w:t>
      </w:r>
      <w:r>
        <w:rPr>
          <w:rFonts w:ascii="Arial" w:hAnsi="Arial" w:cs="Arial"/>
          <w:color w:val="202124"/>
          <w:spacing w:val="2"/>
        </w:rPr>
        <w:br/>
      </w:r>
      <w:r>
        <w:rPr>
          <w:rFonts w:ascii="Arial" w:hAnsi="Arial" w:cs="Arial"/>
          <w:color w:val="202124"/>
          <w:spacing w:val="2"/>
        </w:rPr>
        <w:br/>
      </w:r>
      <w:hyperlink r:id="rId6" w:tgtFrame="_blank" w:history="1">
        <w:r>
          <w:rPr>
            <w:rStyle w:val="Hyperlink"/>
            <w:rFonts w:ascii="Arial" w:hAnsi="Arial" w:cs="Arial"/>
            <w:color w:val="1155CC"/>
            <w:spacing w:val="2"/>
            <w:shd w:val="clear" w:color="auto" w:fill="FFFFFF"/>
          </w:rPr>
          <w:t>https://tkp.at/wp-content/uploads/2023/03/3.PSUR-1.pdf</w:t>
        </w:r>
      </w:hyperlink>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Chd : </w:t>
      </w:r>
      <w:hyperlink r:id="rId7" w:tgtFrame="_blank" w:history="1">
        <w:r>
          <w:rPr>
            <w:rStyle w:val="Hyperlink"/>
            <w:rFonts w:ascii="Arial" w:hAnsi="Arial" w:cs="Arial"/>
            <w:color w:val="1155CC"/>
            <w:spacing w:val="2"/>
            <w:shd w:val="clear" w:color="auto" w:fill="FFFFFF"/>
          </w:rPr>
          <w:t>https://childrenshealthdefense.org/defender/confidential-eu-documents-deaths-pfizer-biontech-shots/</w:t>
        </w:r>
      </w:hyperlink>
      <w:r>
        <w:rPr>
          <w:rFonts w:ascii="Arial" w:hAnsi="Arial" w:cs="Arial"/>
          <w:color w:val="202124"/>
          <w:spacing w:val="2"/>
        </w:rPr>
        <w:br/>
      </w:r>
      <w:r>
        <w:rPr>
          <w:rFonts w:ascii="Arial" w:hAnsi="Arial" w:cs="Arial"/>
          <w:color w:val="202124"/>
          <w:spacing w:val="2"/>
        </w:rPr>
        <w:br/>
      </w:r>
      <w:hyperlink r:id="rId8" w:tgtFrame="_blank" w:history="1">
        <w:r>
          <w:rPr>
            <w:rStyle w:val="Hyperlink"/>
            <w:rFonts w:ascii="Arial" w:hAnsi="Arial" w:cs="Arial"/>
            <w:color w:val="1155CC"/>
            <w:spacing w:val="2"/>
            <w:shd w:val="clear" w:color="auto" w:fill="FFFFFF"/>
          </w:rPr>
          <w:t>https://expose-news.com/2023/07/01/1884-athlete-serious-issues-with-1310-of-them-dead/</w:t>
        </w:r>
      </w:hyperlink>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documents, dated Aug. 18, 2022, and marked “confidential,” show that cumulatively, during the clinical trials and post-marketing period up to June 18, 2022, a total of 4,964,106 adverse events were recorded. The documents included an appendix with further details about the specifics about the identified adverse events.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During this time, Pfizer-BioNTech said it identified almost no safety signals and claimed the vaccine demonstrated over 91% “efficacy.”</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myocarditis reports at over 10,000 and pericarditis reports at over 9,000</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percentage of adverse events classified as serious was “well above the standard for safety signals usually pegged at 15%,” and women reported adverse events at three times the rate of men.</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highest number of cases occurred in the 31-50 age group, of which 92% did not have any comorbidities, making it very likely it was the vaccine causing “such widespread, sudden injury.”</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There were 3,280 fatalities among vaccine recipients in the combined cumulative period including the clinical trials and post-marketing, up to July 18, 2022.</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documents “show that Pfizer knew about a sickening level of injury early on,” yet continued to distribute its COVID-19 vaccine.</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documents were made available to an Austrian science and politics blog, TKP, following “a FOIA [Freedom of Information Act] request from an anonymous reader.” They were subsequently published on March 4. However, once published, no European English-language media outlet appears to have reported on them.</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lastRenderedPageBreak/>
        <w:t>• In one example listed in the document, an 11-year-old boy died of acute respiratory failure two days after the first dose of the vaccine. In another case, a 6-year-old girl died seven days following her initial dose of complications that included renal impairment, epilepsy, apnea, seizure and “sudden death.”</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For children ages 12-17, the document listed 21,945 adverse eventss (19,558 serious)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There were 3,642 post-authorization adverse events and 697 clinical trial adverse events in this population, including spontaneous abortion, fetal death, postpartum hemorrhage, premature separation of the placenta, premature labor or delivery, live birth with congenital anomalies and stillbirths.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393-page confidential Pfizer document shows that Pfizer observed more than 10,000 categories of diagnosis, many “very severe and very rare,” Horowitz wrote.</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These include 73,542 cases of 264 categories of vascular disorders from the shots, many of which “are rare conditions,” hundreds of categories of nervous system disorders, totaling 696,508 cases and 61,518 adverse events from well over 100 categories of eye disorders, “which is unusual for a vaccine injury,” according to Horowitz.</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There were also “3,711 cases of tumors — benign and malignant,” and “there were over 77,000 psychiatric disorders observed.”</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Stroke: 3,091 cases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Pfizer-BioNTech and EMA: ‘nothing to see here’</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 Thromboembolic adverse events: 6,102 cases and 6,724 serious adverse events during PSUR #3, including 265 fatalities, </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 Moreover, 204 fatalities (and 24,077 cases) of vaccination failure, 81 deaths from “vaccination stress,” 24 deaths (and 1,402 cases) of suspected vaccination failure, </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Pfizer and BioNTech claimed that the overall efficacy of their COVID-19 vaccine for the PSUR #3 period was 91.3% — and 100% for some populations.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Moreover, only one safety signal was definitively identified: hearing loss, with Pfizer-BioNTech committing to perform a “safety evaluation of tinnitus and hearing loss.”</w:t>
      </w:r>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sidRPr="00560E6C">
        <w:rPr>
          <w:rFonts w:ascii="Arial" w:hAnsi="Arial" w:cs="Arial"/>
          <w:b/>
          <w:color w:val="202124"/>
          <w:spacing w:val="2"/>
          <w:shd w:val="clear" w:color="auto" w:fill="FFFFFF"/>
        </w:rPr>
        <w:t>2. BILL GATES : CHEMICAL COATING</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food waste. It’s a problem that the United Nations estimates costs the world roughly $2.6 trillion each year, much of which stems from fruits, vegetables and other perishable foods going bad before they’re consumed.</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lastRenderedPageBreak/>
        <w:t>• it can double the shelf life in some cases — even without refrigeration.</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“The two leading causes of produce spoilage are water loss and oxidation — that’s water evaporating out of the produce and oxygen getting in,” Rogers says.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 The point of the Edipeel coating is, simply, to act as a physical barrier that slows down the evaporation process and regulates how much oxygen gets into produce. </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Bill &amp; Melinda Gates Foundation, which gave him $100,000 that marked the beginning of Apeel.</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Congress created the National Organic Standards Board (NOSB) in the 1990s to recommend industry standards for regulating organic food production and processing under the National Organic Program,</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In 1990, Congress passed the Organic Foods Production Act, which, among other things, created the NOSB to serve as a buffer organization between corporate lobbyists and rulemakers.</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Apeel, a company that makes synthetic fungicide/fruit coating meant to extend the shelf-life of food — and which was founded by World Economic Forum (WEF) Young Global Leader 2020 James Rogers with funding from the Gates Foundation</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But the product contains mono- and diglycerides, commonly used in processed foods, which has raised concerns among health advocates and researchers who called for further research into the potential adverse effects on metabolic and gut health</w:t>
      </w:r>
      <w:r>
        <w:rPr>
          <w:rFonts w:ascii="Arial" w:hAnsi="Arial" w:cs="Arial"/>
          <w:color w:val="202124"/>
          <w:spacing w:val="2"/>
        </w:rPr>
        <w:br/>
      </w:r>
      <w:r>
        <w:rPr>
          <w:rFonts w:ascii="Arial" w:hAnsi="Arial" w:cs="Arial"/>
          <w:color w:val="202124"/>
          <w:spacing w:val="2"/>
        </w:rPr>
        <w:br/>
      </w:r>
      <w:hyperlink r:id="rId9" w:tgtFrame="_blank" w:history="1">
        <w:r>
          <w:rPr>
            <w:rStyle w:val="Hyperlink"/>
            <w:rFonts w:ascii="Arial" w:hAnsi="Arial" w:cs="Arial"/>
            <w:color w:val="1155CC"/>
            <w:spacing w:val="2"/>
            <w:shd w:val="clear" w:color="auto" w:fill="FFFFFF"/>
          </w:rPr>
          <w:t>https://www.fda.gov/media/135999/download</w:t>
        </w:r>
      </w:hyperlink>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sidRPr="00560E6C">
        <w:rPr>
          <w:rFonts w:ascii="Arial" w:hAnsi="Arial" w:cs="Arial"/>
          <w:b/>
          <w:color w:val="202124"/>
          <w:spacing w:val="2"/>
          <w:shd w:val="clear" w:color="auto" w:fill="FFFFFF"/>
        </w:rPr>
        <w:t>3. Australia ditches MODERNA</w:t>
      </w:r>
      <w:r>
        <w:rPr>
          <w:rFonts w:ascii="Arial" w:hAnsi="Arial" w:cs="Arial"/>
          <w:color w:val="202124"/>
          <w:spacing w:val="2"/>
        </w:rPr>
        <w:br/>
      </w:r>
      <w:hyperlink r:id="rId10" w:tgtFrame="_blank" w:history="1">
        <w:r>
          <w:rPr>
            <w:rStyle w:val="Hyperlink"/>
            <w:rFonts w:ascii="Arial" w:hAnsi="Arial" w:cs="Arial"/>
            <w:color w:val="1155CC"/>
            <w:spacing w:val="2"/>
            <w:shd w:val="clear" w:color="auto" w:fill="FFFFFF"/>
          </w:rPr>
          <w:t>https://www.health.gov.au/our-work/covid-19-vaccines/advice-for-providers/clinical-guidance/clinical-recommendations</w:t>
        </w:r>
      </w:hyperlink>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CHD : </w:t>
      </w:r>
      <w:hyperlink r:id="rId11" w:tgtFrame="_blank" w:history="1">
        <w:r>
          <w:rPr>
            <w:rStyle w:val="Hyperlink"/>
            <w:rFonts w:ascii="Arial" w:hAnsi="Arial" w:cs="Arial"/>
            <w:color w:val="1155CC"/>
            <w:spacing w:val="2"/>
            <w:shd w:val="clear" w:color="auto" w:fill="FFFFFF"/>
          </w:rPr>
          <w:t>https://childrenshealthdefense.org/defender/australia-moderna-spikevax-covid-vaccine-kids/</w:t>
        </w:r>
      </w:hyperlink>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This month, the Australian federal government updated its website to state that Moderna’s Spikevax is “no longer available” for children under 12.</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It comes only three months after AstraZeneca’s COVID-19 vaccine was discontinued in Australia. (The original Comirnaty [Pfizer] vaccines remain available for use for children under 12 in Australia.)</w:t>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Myocarditis had been linked to the mRNA vaccines in young males — particularly from </w:t>
      </w:r>
      <w:r>
        <w:rPr>
          <w:rFonts w:ascii="Arial" w:hAnsi="Arial" w:cs="Arial"/>
          <w:color w:val="202124"/>
          <w:spacing w:val="2"/>
          <w:shd w:val="clear" w:color="auto" w:fill="FFFFFF"/>
        </w:rPr>
        <w:lastRenderedPageBreak/>
        <w:t>Moderna — with some postulating it was due to the higher concentrations of mRNA in Moderna’s formulation.</w:t>
      </w:r>
      <w:r>
        <w:rPr>
          <w:rFonts w:ascii="Arial" w:hAnsi="Arial" w:cs="Arial"/>
          <w:color w:val="202124"/>
          <w:spacing w:val="2"/>
        </w:rPr>
        <w:br/>
      </w:r>
      <w:r>
        <w:rPr>
          <w:rFonts w:ascii="Arial" w:hAnsi="Arial" w:cs="Arial"/>
          <w:color w:val="202124"/>
          <w:spacing w:val="2"/>
        </w:rPr>
        <w:br/>
      </w:r>
      <w:r>
        <w:rPr>
          <w:rFonts w:ascii="Arial" w:hAnsi="Arial" w:cs="Arial"/>
          <w:color w:val="202124"/>
          <w:spacing w:val="2"/>
        </w:rPr>
        <w:br/>
      </w:r>
      <w:r>
        <w:rPr>
          <w:rFonts w:ascii="Arial" w:hAnsi="Arial" w:cs="Arial"/>
          <w:color w:val="202124"/>
          <w:spacing w:val="2"/>
          <w:shd w:val="clear" w:color="auto" w:fill="FFFFFF"/>
        </w:rPr>
        <w:t xml:space="preserve">4. </w:t>
      </w:r>
      <w:r w:rsidR="00514F8A" w:rsidRPr="00514F8A">
        <w:rPr>
          <w:rFonts w:ascii="Arial" w:hAnsi="Arial" w:cs="Arial"/>
          <w:b/>
          <w:bCs/>
          <w:color w:val="202124"/>
          <w:spacing w:val="2"/>
          <w:shd w:val="clear" w:color="auto" w:fill="FFFFFF"/>
        </w:rPr>
        <w:t>U.S. House Floats Bill to Defund WHO, WEF and ‘Misinformation’ Programs</w:t>
      </w:r>
    </w:p>
    <w:p w:rsidR="00614429" w:rsidRPr="00514F8A" w:rsidRDefault="003354FF">
      <w:pPr>
        <w:rPr>
          <w:rFonts w:ascii="Arial" w:hAnsi="Arial" w:cs="Arial"/>
          <w:b/>
          <w:bCs/>
          <w:color w:val="202124"/>
          <w:spacing w:val="2"/>
          <w:shd w:val="clear" w:color="auto" w:fill="FFFFFF"/>
        </w:rPr>
      </w:pPr>
      <w:hyperlink r:id="rId12" w:tgtFrame="_blank" w:history="1">
        <w:r w:rsidR="00560E6C">
          <w:rPr>
            <w:rStyle w:val="Hyperlink"/>
            <w:rFonts w:ascii="Arial" w:hAnsi="Arial" w:cs="Arial"/>
            <w:color w:val="1155CC"/>
            <w:spacing w:val="2"/>
            <w:shd w:val="clear" w:color="auto" w:fill="FFFFFF"/>
          </w:rPr>
          <w:t>https://childrenshealthdefense.org/defender/house-defund-who-wef-misinformation-gain-of-function-re</w:t>
        </w:r>
        <w:r w:rsidR="00560E6C">
          <w:rPr>
            <w:rStyle w:val="Hyperlink"/>
            <w:rFonts w:ascii="Arial" w:hAnsi="Arial" w:cs="Arial"/>
            <w:color w:val="1155CC"/>
            <w:spacing w:val="2"/>
            <w:shd w:val="clear" w:color="auto" w:fill="FFFFFF"/>
          </w:rPr>
          <w:t>s</w:t>
        </w:r>
        <w:r w:rsidR="00560E6C">
          <w:rPr>
            <w:rStyle w:val="Hyperlink"/>
            <w:rFonts w:ascii="Arial" w:hAnsi="Arial" w:cs="Arial"/>
            <w:color w:val="1155CC"/>
            <w:spacing w:val="2"/>
            <w:shd w:val="clear" w:color="auto" w:fill="FFFFFF"/>
          </w:rPr>
          <w:t>earch/</w:t>
        </w:r>
      </w:hyperlink>
      <w:r w:rsidR="00560E6C">
        <w:rPr>
          <w:rFonts w:ascii="Arial" w:hAnsi="Arial" w:cs="Arial"/>
          <w:color w:val="202124"/>
          <w:spacing w:val="2"/>
        </w:rPr>
        <w:br/>
      </w:r>
      <w:r w:rsidR="00560E6C">
        <w:rPr>
          <w:rFonts w:ascii="Arial" w:hAnsi="Arial" w:cs="Arial"/>
          <w:color w:val="202124"/>
          <w:spacing w:val="2"/>
        </w:rPr>
        <w:br/>
      </w:r>
      <w:r w:rsidR="00560E6C">
        <w:rPr>
          <w:rFonts w:ascii="Arial" w:hAnsi="Arial" w:cs="Arial"/>
          <w:color w:val="202124"/>
          <w:spacing w:val="2"/>
          <w:shd w:val="clear" w:color="auto" w:fill="FFFFFF"/>
        </w:rPr>
        <w:t xml:space="preserve">5. </w:t>
      </w:r>
      <w:r w:rsidR="00514F8A" w:rsidRPr="00514F8A">
        <w:rPr>
          <w:rFonts w:ascii="Arial" w:hAnsi="Arial" w:cs="Arial"/>
          <w:b/>
          <w:bCs/>
          <w:color w:val="202124"/>
          <w:spacing w:val="2"/>
          <w:shd w:val="clear" w:color="auto" w:fill="FFFFFF"/>
        </w:rPr>
        <w:t>Lab-Made Human Eggs and Sperm: Dishing Up a Eugenic Future?</w:t>
      </w:r>
      <w:r w:rsidR="00560E6C">
        <w:rPr>
          <w:rFonts w:ascii="Arial" w:hAnsi="Arial" w:cs="Arial"/>
          <w:color w:val="202124"/>
          <w:spacing w:val="2"/>
        </w:rPr>
        <w:br/>
      </w:r>
      <w:hyperlink r:id="rId13" w:history="1">
        <w:r w:rsidR="00611DF2" w:rsidRPr="00074CEB">
          <w:rPr>
            <w:rStyle w:val="Hyperlink"/>
            <w:rFonts w:ascii="Arial" w:hAnsi="Arial" w:cs="Arial"/>
            <w:spacing w:val="2"/>
            <w:shd w:val="clear" w:color="auto" w:fill="FFFFFF"/>
          </w:rPr>
          <w:t>https://childrenshealthdefense.or</w:t>
        </w:r>
        <w:r w:rsidR="00611DF2" w:rsidRPr="00074CEB">
          <w:rPr>
            <w:rStyle w:val="Hyperlink"/>
            <w:rFonts w:ascii="Arial" w:hAnsi="Arial" w:cs="Arial"/>
            <w:spacing w:val="2"/>
            <w:shd w:val="clear" w:color="auto" w:fill="FFFFFF"/>
          </w:rPr>
          <w:t>g</w:t>
        </w:r>
        <w:r w:rsidR="00611DF2" w:rsidRPr="00074CEB">
          <w:rPr>
            <w:rStyle w:val="Hyperlink"/>
            <w:rFonts w:ascii="Arial" w:hAnsi="Arial" w:cs="Arial"/>
            <w:spacing w:val="2"/>
            <w:shd w:val="clear" w:color="auto" w:fill="FFFFFF"/>
          </w:rPr>
          <w:t>/de</w:t>
        </w:r>
        <w:r w:rsidR="00611DF2" w:rsidRPr="00074CEB">
          <w:rPr>
            <w:rStyle w:val="Hyperlink"/>
            <w:rFonts w:ascii="Arial" w:hAnsi="Arial" w:cs="Arial"/>
            <w:spacing w:val="2"/>
            <w:shd w:val="clear" w:color="auto" w:fill="FFFFFF"/>
          </w:rPr>
          <w:t>f</w:t>
        </w:r>
        <w:r w:rsidR="00611DF2" w:rsidRPr="00074CEB">
          <w:rPr>
            <w:rStyle w:val="Hyperlink"/>
            <w:rFonts w:ascii="Arial" w:hAnsi="Arial" w:cs="Arial"/>
            <w:spacing w:val="2"/>
            <w:shd w:val="clear" w:color="auto" w:fill="FFFFFF"/>
          </w:rPr>
          <w:t>ender/lab-hum</w:t>
        </w:r>
        <w:r w:rsidR="00611DF2" w:rsidRPr="00074CEB">
          <w:rPr>
            <w:rStyle w:val="Hyperlink"/>
            <w:rFonts w:ascii="Arial" w:hAnsi="Arial" w:cs="Arial"/>
            <w:spacing w:val="2"/>
            <w:shd w:val="clear" w:color="auto" w:fill="FFFFFF"/>
          </w:rPr>
          <w:t>a</w:t>
        </w:r>
        <w:r w:rsidR="00611DF2" w:rsidRPr="00074CEB">
          <w:rPr>
            <w:rStyle w:val="Hyperlink"/>
            <w:rFonts w:ascii="Arial" w:hAnsi="Arial" w:cs="Arial"/>
            <w:spacing w:val="2"/>
            <w:shd w:val="clear" w:color="auto" w:fill="FFFFFF"/>
          </w:rPr>
          <w:t>n-eggs-spe</w:t>
        </w:r>
        <w:r w:rsidR="00611DF2" w:rsidRPr="00074CEB">
          <w:rPr>
            <w:rStyle w:val="Hyperlink"/>
            <w:rFonts w:ascii="Arial" w:hAnsi="Arial" w:cs="Arial"/>
            <w:spacing w:val="2"/>
            <w:shd w:val="clear" w:color="auto" w:fill="FFFFFF"/>
          </w:rPr>
          <w:t>r</w:t>
        </w:r>
        <w:r w:rsidR="00611DF2" w:rsidRPr="00074CEB">
          <w:rPr>
            <w:rStyle w:val="Hyperlink"/>
            <w:rFonts w:ascii="Arial" w:hAnsi="Arial" w:cs="Arial"/>
            <w:spacing w:val="2"/>
            <w:shd w:val="clear" w:color="auto" w:fill="FFFFFF"/>
          </w:rPr>
          <w:t>m-eugenic</w:t>
        </w:r>
        <w:r w:rsidR="00611DF2" w:rsidRPr="00074CEB">
          <w:rPr>
            <w:rStyle w:val="Hyperlink"/>
            <w:rFonts w:ascii="Arial" w:hAnsi="Arial" w:cs="Arial"/>
            <w:spacing w:val="2"/>
            <w:shd w:val="clear" w:color="auto" w:fill="FFFFFF"/>
          </w:rPr>
          <w:t>-</w:t>
        </w:r>
        <w:r w:rsidR="00611DF2" w:rsidRPr="00074CEB">
          <w:rPr>
            <w:rStyle w:val="Hyperlink"/>
            <w:rFonts w:ascii="Arial" w:hAnsi="Arial" w:cs="Arial"/>
            <w:spacing w:val="2"/>
            <w:shd w:val="clear" w:color="auto" w:fill="FFFFFF"/>
          </w:rPr>
          <w:t>f</w:t>
        </w:r>
        <w:r w:rsidR="00611DF2" w:rsidRPr="00074CEB">
          <w:rPr>
            <w:rStyle w:val="Hyperlink"/>
            <w:rFonts w:ascii="Arial" w:hAnsi="Arial" w:cs="Arial"/>
            <w:spacing w:val="2"/>
            <w:shd w:val="clear" w:color="auto" w:fill="FFFFFF"/>
          </w:rPr>
          <w:t>u</w:t>
        </w:r>
        <w:r w:rsidR="00611DF2" w:rsidRPr="00074CEB">
          <w:rPr>
            <w:rStyle w:val="Hyperlink"/>
            <w:rFonts w:ascii="Arial" w:hAnsi="Arial" w:cs="Arial"/>
            <w:spacing w:val="2"/>
            <w:shd w:val="clear" w:color="auto" w:fill="FFFFFF"/>
          </w:rPr>
          <w:t>ture/</w:t>
        </w:r>
      </w:hyperlink>
      <w:r w:rsidR="00560E6C">
        <w:rPr>
          <w:rFonts w:ascii="Arial" w:hAnsi="Arial" w:cs="Arial"/>
          <w:color w:val="202124"/>
          <w:spacing w:val="2"/>
        </w:rPr>
        <w:br/>
      </w:r>
      <w:r w:rsidR="00560E6C">
        <w:rPr>
          <w:rFonts w:ascii="Arial" w:hAnsi="Arial" w:cs="Arial"/>
          <w:color w:val="202124"/>
          <w:spacing w:val="2"/>
        </w:rPr>
        <w:br/>
      </w:r>
      <w:r w:rsidR="00560E6C" w:rsidRPr="00560E6C">
        <w:rPr>
          <w:rFonts w:ascii="Arial" w:hAnsi="Arial" w:cs="Arial"/>
          <w:b/>
          <w:color w:val="202124"/>
          <w:spacing w:val="2"/>
          <w:shd w:val="clear" w:color="auto" w:fill="FFFFFF"/>
        </w:rPr>
        <w:t>6. Aspartame</w:t>
      </w:r>
      <w:r w:rsidR="00560E6C">
        <w:rPr>
          <w:rFonts w:ascii="Arial" w:hAnsi="Arial" w:cs="Arial"/>
          <w:color w:val="202124"/>
          <w:spacing w:val="2"/>
          <w:shd w:val="clear" w:color="auto" w:fill="FFFFFF"/>
        </w:rPr>
        <w:t xml:space="preserve"> </w:t>
      </w:r>
      <w:r w:rsidR="00560E6C">
        <w:rPr>
          <w:rFonts w:ascii="Arial" w:hAnsi="Arial" w:cs="Arial"/>
          <w:color w:val="202124"/>
          <w:spacing w:val="2"/>
        </w:rPr>
        <w:br/>
      </w:r>
      <w:hyperlink r:id="rId14" w:tgtFrame="_blank" w:history="1">
        <w:r w:rsidR="00560E6C">
          <w:rPr>
            <w:rStyle w:val="Hyperlink"/>
            <w:rFonts w:ascii="Arial" w:hAnsi="Arial" w:cs="Arial"/>
            <w:color w:val="1155CC"/>
            <w:spacing w:val="2"/>
            <w:shd w:val="clear" w:color="auto" w:fill="FFFFFF"/>
          </w:rPr>
          <w:t>https://www.reuters.com/business/healthcare-pharmaceuticals/whos-cancer-research-agency-say-aspartame-sweetener-possible-carcinogen-sources-2023-06-29/</w:t>
        </w:r>
      </w:hyperlink>
      <w:r w:rsidR="00560E6C">
        <w:rPr>
          <w:rFonts w:ascii="Arial" w:hAnsi="Arial" w:cs="Arial"/>
          <w:color w:val="202124"/>
          <w:spacing w:val="2"/>
        </w:rPr>
        <w:br/>
      </w:r>
      <w:r w:rsidR="00560E6C">
        <w:rPr>
          <w:rFonts w:ascii="Arial" w:hAnsi="Arial" w:cs="Arial"/>
          <w:color w:val="202124"/>
          <w:spacing w:val="2"/>
        </w:rPr>
        <w:br/>
      </w:r>
      <w:r w:rsidR="00560E6C">
        <w:rPr>
          <w:rFonts w:ascii="Arial" w:hAnsi="Arial" w:cs="Arial"/>
          <w:color w:val="202124"/>
          <w:spacing w:val="2"/>
          <w:shd w:val="clear" w:color="auto" w:fill="FFFFFF"/>
        </w:rPr>
        <w:t>It has been deemed safe in more than 90 countries including the U.S., and the U.S. Food and Drug Administration (FDA) has affirmed its safety five different times</w:t>
      </w:r>
      <w:r w:rsidR="00560E6C">
        <w:rPr>
          <w:rFonts w:ascii="Arial" w:hAnsi="Arial" w:cs="Arial"/>
          <w:color w:val="202124"/>
          <w:spacing w:val="2"/>
        </w:rPr>
        <w:br/>
      </w:r>
      <w:r w:rsidR="00560E6C">
        <w:rPr>
          <w:rFonts w:ascii="Arial" w:hAnsi="Arial" w:cs="Arial"/>
          <w:color w:val="202124"/>
          <w:spacing w:val="2"/>
        </w:rPr>
        <w:br/>
      </w:r>
      <w:r w:rsidR="00560E6C">
        <w:rPr>
          <w:rFonts w:ascii="Arial" w:hAnsi="Arial" w:cs="Arial"/>
          <w:color w:val="202124"/>
          <w:spacing w:val="2"/>
          <w:shd w:val="clear" w:color="auto" w:fill="FFFFFF"/>
        </w:rPr>
        <w:t>Around 95% of carbonated drinks and 90% of teas that use artificial sweeteners use aspartame, according to The Washington Post.</w:t>
      </w:r>
      <w:r w:rsidR="00560E6C">
        <w:rPr>
          <w:rFonts w:ascii="Arial" w:hAnsi="Arial" w:cs="Arial"/>
          <w:color w:val="202124"/>
          <w:spacing w:val="2"/>
        </w:rPr>
        <w:br/>
      </w:r>
    </w:p>
    <w:sectPr w:rsidR="00614429" w:rsidRPr="00514F8A" w:rsidSect="003354FF">
      <w:head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EC9" w:rsidRDefault="00193EC9" w:rsidP="00611DF2">
      <w:pPr>
        <w:spacing w:after="0" w:line="240" w:lineRule="auto"/>
      </w:pPr>
      <w:r>
        <w:separator/>
      </w:r>
    </w:p>
  </w:endnote>
  <w:endnote w:type="continuationSeparator" w:id="1">
    <w:p w:rsidR="00193EC9" w:rsidRDefault="00193EC9" w:rsidP="00611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EC9" w:rsidRDefault="00193EC9" w:rsidP="00611DF2">
      <w:pPr>
        <w:spacing w:after="0" w:line="240" w:lineRule="auto"/>
      </w:pPr>
      <w:r>
        <w:separator/>
      </w:r>
    </w:p>
  </w:footnote>
  <w:footnote w:type="continuationSeparator" w:id="1">
    <w:p w:rsidR="00193EC9" w:rsidRDefault="00193EC9" w:rsidP="00611D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DF2" w:rsidRDefault="00611DF2">
    <w:pPr>
      <w:pStyle w:val="Header"/>
    </w:pPr>
    <w:r>
      <w:rPr>
        <w:noProof/>
      </w:rPr>
      <w:drawing>
        <wp:inline distT="0" distB="0" distL="0" distR="0">
          <wp:extent cx="533400" cy="533400"/>
          <wp:effectExtent l="19050" t="0" r="0" b="0"/>
          <wp:docPr id="1" name="Picture 0" desc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ng"/>
                  <pic:cNvPicPr/>
                </pic:nvPicPr>
                <pic:blipFill>
                  <a:blip r:embed="rId1"/>
                  <a:stretch>
                    <a:fillRect/>
                  </a:stretch>
                </pic:blipFill>
                <pic:spPr>
                  <a:xfrm>
                    <a:off x="0" y="0"/>
                    <a:ext cx="533400" cy="533400"/>
                  </a:xfrm>
                  <a:prstGeom prst="rect">
                    <a:avLst/>
                  </a:prstGeom>
                </pic:spPr>
              </pic:pic>
            </a:graphicData>
          </a:graphic>
        </wp:inline>
      </w:drawing>
    </w:r>
  </w:p>
  <w:p w:rsidR="00611DF2" w:rsidRDefault="00611DF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useFELayout/>
  </w:compat>
  <w:rsids>
    <w:rsidRoot w:val="00560E6C"/>
    <w:rsid w:val="00193EC9"/>
    <w:rsid w:val="003354FF"/>
    <w:rsid w:val="00514F8A"/>
    <w:rsid w:val="00560E6C"/>
    <w:rsid w:val="00611DF2"/>
    <w:rsid w:val="0061442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FF"/>
  </w:style>
  <w:style w:type="paragraph" w:styleId="Heading1">
    <w:name w:val="heading 1"/>
    <w:basedOn w:val="Normal"/>
    <w:next w:val="Normal"/>
    <w:link w:val="Heading1Char"/>
    <w:uiPriority w:val="9"/>
    <w:qFormat/>
    <w:rsid w:val="00514F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E6C"/>
    <w:rPr>
      <w:color w:val="0000FF"/>
      <w:u w:val="single"/>
    </w:rPr>
  </w:style>
  <w:style w:type="paragraph" w:styleId="Title">
    <w:name w:val="Title"/>
    <w:basedOn w:val="Normal"/>
    <w:next w:val="Normal"/>
    <w:link w:val="TitleChar"/>
    <w:uiPriority w:val="10"/>
    <w:qFormat/>
    <w:rsid w:val="00560E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0E6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611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DF2"/>
  </w:style>
  <w:style w:type="paragraph" w:styleId="Footer">
    <w:name w:val="footer"/>
    <w:basedOn w:val="Normal"/>
    <w:link w:val="FooterChar"/>
    <w:uiPriority w:val="99"/>
    <w:semiHidden/>
    <w:unhideWhenUsed/>
    <w:rsid w:val="00611DF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1DF2"/>
  </w:style>
  <w:style w:type="paragraph" w:styleId="BalloonText">
    <w:name w:val="Balloon Text"/>
    <w:basedOn w:val="Normal"/>
    <w:link w:val="BalloonTextChar"/>
    <w:uiPriority w:val="99"/>
    <w:semiHidden/>
    <w:unhideWhenUsed/>
    <w:rsid w:val="0061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DF2"/>
    <w:rPr>
      <w:rFonts w:ascii="Tahoma" w:hAnsi="Tahoma" w:cs="Tahoma"/>
      <w:sz w:val="16"/>
      <w:szCs w:val="16"/>
    </w:rPr>
  </w:style>
  <w:style w:type="character" w:styleId="FollowedHyperlink">
    <w:name w:val="FollowedHyperlink"/>
    <w:basedOn w:val="DefaultParagraphFont"/>
    <w:uiPriority w:val="99"/>
    <w:semiHidden/>
    <w:unhideWhenUsed/>
    <w:rsid w:val="00611DF2"/>
    <w:rPr>
      <w:color w:val="800080" w:themeColor="followedHyperlink"/>
      <w:u w:val="single"/>
    </w:rPr>
  </w:style>
  <w:style w:type="character" w:customStyle="1" w:styleId="Heading1Char">
    <w:name w:val="Heading 1 Char"/>
    <w:basedOn w:val="DefaultParagraphFont"/>
    <w:link w:val="Heading1"/>
    <w:uiPriority w:val="9"/>
    <w:rsid w:val="00514F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36263329">
      <w:bodyDiv w:val="1"/>
      <w:marLeft w:val="0"/>
      <w:marRight w:val="0"/>
      <w:marTop w:val="0"/>
      <w:marBottom w:val="0"/>
      <w:divBdr>
        <w:top w:val="none" w:sz="0" w:space="0" w:color="auto"/>
        <w:left w:val="none" w:sz="0" w:space="0" w:color="auto"/>
        <w:bottom w:val="none" w:sz="0" w:space="0" w:color="auto"/>
        <w:right w:val="none" w:sz="0" w:space="0" w:color="auto"/>
      </w:divBdr>
    </w:div>
    <w:div w:id="321742905">
      <w:bodyDiv w:val="1"/>
      <w:marLeft w:val="0"/>
      <w:marRight w:val="0"/>
      <w:marTop w:val="0"/>
      <w:marBottom w:val="0"/>
      <w:divBdr>
        <w:top w:val="none" w:sz="0" w:space="0" w:color="auto"/>
        <w:left w:val="none" w:sz="0" w:space="0" w:color="auto"/>
        <w:bottom w:val="none" w:sz="0" w:space="0" w:color="auto"/>
        <w:right w:val="none" w:sz="0" w:space="0" w:color="auto"/>
      </w:divBdr>
    </w:div>
    <w:div w:id="739987534">
      <w:bodyDiv w:val="1"/>
      <w:marLeft w:val="0"/>
      <w:marRight w:val="0"/>
      <w:marTop w:val="0"/>
      <w:marBottom w:val="0"/>
      <w:divBdr>
        <w:top w:val="none" w:sz="0" w:space="0" w:color="auto"/>
        <w:left w:val="none" w:sz="0" w:space="0" w:color="auto"/>
        <w:bottom w:val="none" w:sz="0" w:space="0" w:color="auto"/>
        <w:right w:val="none" w:sz="0" w:space="0" w:color="auto"/>
      </w:divBdr>
    </w:div>
    <w:div w:id="133537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xpose-news.com/2023/07/01/1884-athlete-serious-issues-with-1310-of-them-dead/" TargetMode="External"/><Relationship Id="rId13" Type="http://schemas.openxmlformats.org/officeDocument/2006/relationships/hyperlink" Target="https://childrenshealthdefense.org/defender/lab-human-eggs-sperm-eugenic-future/" TargetMode="External"/><Relationship Id="rId3" Type="http://schemas.openxmlformats.org/officeDocument/2006/relationships/webSettings" Target="webSettings.xml"/><Relationship Id="rId7" Type="http://schemas.openxmlformats.org/officeDocument/2006/relationships/hyperlink" Target="https://childrenshealthdefense.org/defender/confidential-eu-documents-deaths-pfizer-biontech-shots/" TargetMode="External"/><Relationship Id="rId12" Type="http://schemas.openxmlformats.org/officeDocument/2006/relationships/hyperlink" Target="https://childrenshealthdefense.org/defender/house-defund-who-wef-misinformation-gain-of-function-research/"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kp.at/wp-content/uploads/2023/03/3.PSUR-1.pdf" TargetMode="External"/><Relationship Id="rId11" Type="http://schemas.openxmlformats.org/officeDocument/2006/relationships/hyperlink" Target="https://childrenshealthdefense.org/defender/australia-moderna-spikevax-covid-vaccine-kid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health.gov.au/our-work/covid-19-vaccines/advice-for-providers/clinical-guidance/clinical-recommendations" TargetMode="External"/><Relationship Id="rId4" Type="http://schemas.openxmlformats.org/officeDocument/2006/relationships/footnotes" Target="footnotes.xml"/><Relationship Id="rId9" Type="http://schemas.openxmlformats.org/officeDocument/2006/relationships/hyperlink" Target="https://www.fda.gov/media/135999/download" TargetMode="External"/><Relationship Id="rId14" Type="http://schemas.openxmlformats.org/officeDocument/2006/relationships/hyperlink" Target="https://www.reuters.com/business/healthcare-pharmaceuticals/whos-cancer-research-agency-say-aspartame-sweetener-possible-carcinogen-sources-2023-06-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1224</Words>
  <Characters>6978</Characters>
  <Application>Microsoft Office Word</Application>
  <DocSecurity>0</DocSecurity>
  <Lines>58</Lines>
  <Paragraphs>16</Paragraphs>
  <ScaleCrop>false</ScaleCrop>
  <Company>Grizli777</Company>
  <LinksUpToDate>false</LinksUpToDate>
  <CharactersWithSpaces>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2023-07-02T08:49:00Z</dcterms:created>
  <dcterms:modified xsi:type="dcterms:W3CDTF">2023-07-02T08:56:00Z</dcterms:modified>
</cp:coreProperties>
</file>